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D3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F74BC">
        <w:rPr>
          <w:rFonts w:ascii="Times New Roman" w:hAnsi="Times New Roman" w:cs="Times New Roman"/>
          <w:sz w:val="24"/>
          <w:szCs w:val="24"/>
        </w:rPr>
        <w:t>2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по правовой и кадровой работе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</w:tcPr>
          <w:p w:rsidR="000E0785" w:rsidRPr="00DC0C55" w:rsidRDefault="00143CA5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</w:tcPr>
          <w:p w:rsidR="000E0785" w:rsidRPr="00881055" w:rsidRDefault="00AC62A9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E0785" w:rsidRPr="00A13E6E" w:rsidRDefault="00AC62A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0E0785" w:rsidRPr="00BE6D1F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 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417" w:type="dxa"/>
          </w:tcPr>
          <w:p w:rsidR="000E0785" w:rsidRPr="00DC0C55" w:rsidRDefault="00143CA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276" w:type="dxa"/>
          </w:tcPr>
          <w:p w:rsidR="000E0785" w:rsidRPr="00881055" w:rsidRDefault="007B08E5" w:rsidP="00AD0524">
            <w:pPr>
              <w:pStyle w:val="21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E0785" w:rsidRPr="00A13E6E" w:rsidRDefault="007B08E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  <w:r w:rsidR="00AD0524" w:rsidRP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DC0C55" w:rsidRDefault="00143CA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417" w:type="dxa"/>
          </w:tcPr>
          <w:p w:rsidR="00993E29" w:rsidRDefault="00143CA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276" w:type="dxa"/>
          </w:tcPr>
          <w:p w:rsidR="00993E29" w:rsidRDefault="007B08E5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7B08E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  <w:r w:rsidR="00BE6D1F"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1765"/>
          <w:tblCellSpacing w:w="5" w:type="nil"/>
        </w:trPr>
        <w:tc>
          <w:tcPr>
            <w:tcW w:w="642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143CA5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143CA5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Аксёнова </w:t>
            </w:r>
            <w:proofErr w:type="gramStart"/>
            <w:r w:rsidR="00FF74BC">
              <w:rPr>
                <w:rFonts w:ascii="Times New Roman" w:hAnsi="Times New Roman"/>
                <w:sz w:val="18"/>
                <w:szCs w:val="18"/>
              </w:rPr>
              <w:t>О.А.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F80279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B08E5">
        <w:rPr>
          <w:rFonts w:ascii="Times New Roman" w:hAnsi="Times New Roman" w:cs="Times New Roman"/>
          <w:sz w:val="26"/>
          <w:szCs w:val="26"/>
        </w:rPr>
        <w:t>27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20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7B08E5">
        <w:rPr>
          <w:rFonts w:ascii="Times New Roman" w:hAnsi="Times New Roman" w:cs="Times New Roman"/>
          <w:sz w:val="26"/>
          <w:szCs w:val="26"/>
        </w:rPr>
        <w:t>119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25E57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 xml:space="preserve">1 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1 полугодии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</w:t>
      </w:r>
      <w:r w:rsidR="007B08E5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7B08E5">
        <w:rPr>
          <w:rFonts w:ascii="Times New Roman" w:hAnsi="Times New Roman" w:cs="Times New Roman"/>
          <w:sz w:val="26"/>
          <w:szCs w:val="26"/>
        </w:rPr>
        <w:t>34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7B08E5">
        <w:rPr>
          <w:rFonts w:ascii="Times New Roman" w:hAnsi="Times New Roman" w:cs="Times New Roman"/>
          <w:sz w:val="26"/>
          <w:szCs w:val="26"/>
        </w:rPr>
        <w:t>3</w:t>
      </w:r>
      <w:r w:rsidR="00AC3B6B">
        <w:rPr>
          <w:rFonts w:ascii="Times New Roman" w:hAnsi="Times New Roman" w:cs="Times New Roman"/>
          <w:sz w:val="26"/>
          <w:szCs w:val="26"/>
        </w:rPr>
        <w:t>2 выходов.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143CA5">
        <w:rPr>
          <w:rFonts w:ascii="Times New Roman" w:hAnsi="Times New Roman" w:cs="Times New Roman"/>
          <w:sz w:val="26"/>
          <w:szCs w:val="26"/>
        </w:rPr>
        <w:t>39,6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6 месяцев 202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</w:rPr>
        <w:t>4,3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F691B">
        <w:rPr>
          <w:rFonts w:ascii="Times New Roman" w:hAnsi="Times New Roman" w:cs="Times New Roman"/>
          <w:sz w:val="26"/>
          <w:szCs w:val="26"/>
        </w:rPr>
        <w:t>11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143CA5">
        <w:rPr>
          <w:rFonts w:ascii="Times New Roman" w:hAnsi="Times New Roman" w:cs="Times New Roman"/>
          <w:sz w:val="26"/>
          <w:szCs w:val="26"/>
        </w:rPr>
        <w:t>35,3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5F691B">
        <w:rPr>
          <w:rFonts w:ascii="Times New Roman" w:hAnsi="Times New Roman" w:cs="Times New Roman"/>
          <w:sz w:val="26"/>
          <w:szCs w:val="26"/>
        </w:rPr>
        <w:t>0,0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F691B">
        <w:rPr>
          <w:rFonts w:ascii="Times New Roman" w:hAnsi="Times New Roman" w:cs="Times New Roman"/>
          <w:sz w:val="26"/>
          <w:szCs w:val="26"/>
        </w:rPr>
        <w:t>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8B12E4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5F691B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5F691B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>. главы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8338D"/>
    <w:rsid w:val="007113DA"/>
    <w:rsid w:val="007334BA"/>
    <w:rsid w:val="007B08E5"/>
    <w:rsid w:val="007D08C2"/>
    <w:rsid w:val="007F4E56"/>
    <w:rsid w:val="0083219E"/>
    <w:rsid w:val="008B12E4"/>
    <w:rsid w:val="008C1751"/>
    <w:rsid w:val="00985F7F"/>
    <w:rsid w:val="00987B91"/>
    <w:rsid w:val="00993E29"/>
    <w:rsid w:val="009D08E3"/>
    <w:rsid w:val="00A9748E"/>
    <w:rsid w:val="00AC3B6B"/>
    <w:rsid w:val="00AC62A9"/>
    <w:rsid w:val="00AD0524"/>
    <w:rsid w:val="00B20D90"/>
    <w:rsid w:val="00B91B30"/>
    <w:rsid w:val="00B97AC4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9DED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2022-01-25T10:44:00Z</cp:lastPrinted>
  <dcterms:created xsi:type="dcterms:W3CDTF">2019-08-15T07:27:00Z</dcterms:created>
  <dcterms:modified xsi:type="dcterms:W3CDTF">2022-07-12T11:09:00Z</dcterms:modified>
</cp:coreProperties>
</file>